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480"/>
        <w:rPr>
          <w:rFonts w:ascii="宋体" w:hAnsi="宋体"/>
          <w:sz w:val="24"/>
        </w:rPr>
      </w:pPr>
      <w:r>
        <w:rPr>
          <w:rFonts w:ascii="宋体" w:hAnsi="宋体"/>
          <w:sz w:val="24"/>
        </w:rPr>
        <w:t>附件：</w:t>
      </w:r>
    </w:p>
    <w:p>
      <w:pPr>
        <w:spacing w:line="360" w:lineRule="auto"/>
        <w:ind w:firstLine="2891" w:firstLineChars="900"/>
        <w:rPr>
          <w:rFonts w:ascii="黑体" w:hAnsi="黑体" w:eastAsia="黑体" w:cs="黑体"/>
          <w:b/>
          <w:bCs/>
          <w:sz w:val="32"/>
          <w:szCs w:val="32"/>
        </w:rPr>
      </w:pPr>
      <w:r>
        <w:rPr>
          <w:rFonts w:hint="eastAsia" w:ascii="黑体" w:hAnsi="黑体" w:eastAsia="黑体" w:cs="黑体"/>
          <w:b/>
          <w:bCs/>
          <w:sz w:val="32"/>
          <w:szCs w:val="32"/>
        </w:rPr>
        <w:t>授 权 委 托 书</w:t>
      </w:r>
    </w:p>
    <w:p>
      <w:pPr>
        <w:pStyle w:val="4"/>
        <w:spacing w:line="360" w:lineRule="auto"/>
        <w:ind w:firstLine="480" w:firstLineChars="200"/>
        <w:rPr>
          <w:rFonts w:hAnsi="宋体"/>
          <w:color w:val="auto"/>
        </w:rPr>
      </w:pPr>
      <w:r>
        <w:rPr>
          <w:rFonts w:hAnsi="宋体" w:cs="Times New Roman"/>
          <w:color w:val="auto"/>
        </w:rPr>
        <w:t>兹委托</w:t>
      </w:r>
      <w:bookmarkStart w:id="0" w:name="_Hlk63443928"/>
      <w:r>
        <w:rPr>
          <w:rFonts w:hAnsi="宋体" w:cs="Times New Roman"/>
          <w:color w:val="auto"/>
          <w:u w:val="single"/>
        </w:rPr>
        <w:t xml:space="preserve"> </w:t>
      </w:r>
      <w:r>
        <w:rPr>
          <w:rFonts w:hint="eastAsia" w:hAnsi="宋体" w:cs="Times New Roman"/>
          <w:color w:val="auto"/>
          <w:u w:val="single"/>
        </w:rPr>
        <w:t xml:space="preserve">     </w:t>
      </w:r>
      <w:r>
        <w:rPr>
          <w:rFonts w:hAnsi="宋体" w:cs="Times New Roman"/>
          <w:color w:val="auto"/>
          <w:u w:val="single"/>
        </w:rPr>
        <w:t xml:space="preserve">     </w:t>
      </w:r>
      <w:r>
        <w:rPr>
          <w:rFonts w:hint="eastAsia" w:hAnsi="宋体" w:cs="Times New Roman"/>
          <w:color w:val="auto"/>
          <w:u w:val="single"/>
        </w:rPr>
        <w:t xml:space="preserve">    </w:t>
      </w:r>
      <w:bookmarkEnd w:id="0"/>
      <w:r>
        <w:rPr>
          <w:rFonts w:hAnsi="宋体" w:cs="Times New Roman"/>
          <w:color w:val="auto"/>
        </w:rPr>
        <w:t>女士/</w:t>
      </w:r>
      <w:r>
        <w:rPr>
          <w:rFonts w:hint="eastAsia" w:hAnsi="宋体"/>
          <w:color w:val="auto"/>
        </w:rPr>
        <w:t>先生代表本人</w:t>
      </w:r>
      <w:r>
        <w:rPr>
          <w:rFonts w:hAnsi="宋体" w:cs="Times New Roman"/>
          <w:color w:val="auto"/>
        </w:rPr>
        <w:t>/</w:t>
      </w:r>
      <w:r>
        <w:rPr>
          <w:rFonts w:hint="eastAsia" w:hAnsi="宋体"/>
          <w:color w:val="auto"/>
        </w:rPr>
        <w:t>本单位出席普瑞特机械制造股份有限公司</w:t>
      </w:r>
      <w:r>
        <w:rPr>
          <w:rFonts w:hint="eastAsia" w:hAnsi="宋体" w:cs="Times New Roman"/>
          <w:color w:val="auto"/>
        </w:rPr>
        <w:t>202</w:t>
      </w:r>
      <w:r>
        <w:rPr>
          <w:rFonts w:hint="eastAsia" w:hAnsi="宋体" w:cs="Times New Roman"/>
          <w:color w:val="auto"/>
          <w:lang w:val="en-US" w:eastAsia="zh-CN"/>
        </w:rPr>
        <w:t>3</w:t>
      </w:r>
      <w:r>
        <w:rPr>
          <w:rFonts w:hint="eastAsia" w:hAnsi="宋体" w:cs="Times New Roman"/>
          <w:color w:val="auto"/>
        </w:rPr>
        <w:t>年度股东大会</w:t>
      </w:r>
      <w:r>
        <w:rPr>
          <w:rFonts w:hint="eastAsia" w:hAnsi="宋体"/>
          <w:color w:val="auto"/>
        </w:rPr>
        <w:t>。受托人有权依照本授权委托书的指示对本次股东大会审议的事项进行投票表决，并代为签署本次股东大会需要签署的相关文件。</w:t>
      </w:r>
    </w:p>
    <w:p>
      <w:pPr>
        <w:pStyle w:val="4"/>
        <w:spacing w:line="360" w:lineRule="auto"/>
        <w:ind w:firstLine="480" w:firstLineChars="200"/>
        <w:rPr>
          <w:rFonts w:hAnsi="宋体"/>
          <w:color w:val="auto"/>
        </w:rPr>
      </w:pPr>
      <w:r>
        <w:rPr>
          <w:rFonts w:hint="eastAsia" w:hAnsi="宋体"/>
          <w:color w:val="auto"/>
        </w:rPr>
        <w:t>本授权委托书的有效期限为自本授权委托书签署之日起至本次股东大会结束之时止。</w:t>
      </w:r>
    </w:p>
    <w:p>
      <w:pPr>
        <w:pStyle w:val="4"/>
        <w:spacing w:line="360" w:lineRule="auto"/>
        <w:ind w:firstLine="465"/>
        <w:rPr>
          <w:rFonts w:hAnsi="宋体"/>
          <w:color w:val="auto"/>
        </w:rPr>
      </w:pPr>
      <w:r>
        <w:rPr>
          <w:rFonts w:hint="eastAsia" w:hAnsi="宋体"/>
          <w:color w:val="auto"/>
        </w:rPr>
        <w:t>委托人对受托人的指示如下：</w:t>
      </w:r>
    </w:p>
    <w:tbl>
      <w:tblPr>
        <w:tblStyle w:val="2"/>
        <w:tblW w:w="537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6"/>
        <w:gridCol w:w="5847"/>
        <w:gridCol w:w="832"/>
        <w:gridCol w:w="834"/>
        <w:gridCol w:w="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shd w:val="pct10" w:color="auto" w:fill="auto"/>
            <w:vAlign w:val="center"/>
          </w:tcPr>
          <w:p>
            <w:pPr>
              <w:jc w:val="center"/>
              <w:rPr>
                <w:rFonts w:ascii="Times New Roman" w:hAnsi="Times New Roman"/>
                <w:b/>
                <w:bCs/>
                <w:sz w:val="21"/>
                <w:szCs w:val="21"/>
              </w:rPr>
            </w:pPr>
            <w:bookmarkStart w:id="1" w:name="_Hlk136281926"/>
            <w:r>
              <w:rPr>
                <w:rFonts w:ascii="Times New Roman" w:hAnsi="Times New Roman"/>
                <w:b/>
                <w:bCs/>
                <w:sz w:val="21"/>
                <w:szCs w:val="21"/>
              </w:rPr>
              <w:t>序号</w:t>
            </w:r>
          </w:p>
        </w:tc>
        <w:tc>
          <w:tcPr>
            <w:tcW w:w="3191" w:type="pct"/>
            <w:shd w:val="pct10" w:color="auto" w:fill="auto"/>
            <w:vAlign w:val="center"/>
          </w:tcPr>
          <w:p>
            <w:pPr>
              <w:jc w:val="center"/>
              <w:rPr>
                <w:rFonts w:ascii="Times New Roman" w:hAnsi="Times New Roman"/>
                <w:b/>
                <w:bCs/>
                <w:sz w:val="21"/>
                <w:szCs w:val="21"/>
              </w:rPr>
            </w:pPr>
            <w:r>
              <w:rPr>
                <w:rFonts w:ascii="Times New Roman" w:hAnsi="Times New Roman"/>
                <w:b/>
                <w:bCs/>
                <w:sz w:val="21"/>
                <w:szCs w:val="21"/>
              </w:rPr>
              <w:t>议案名称</w:t>
            </w:r>
          </w:p>
        </w:tc>
        <w:tc>
          <w:tcPr>
            <w:tcW w:w="454" w:type="pct"/>
            <w:shd w:val="pct10" w:color="auto" w:fill="auto"/>
            <w:vAlign w:val="center"/>
          </w:tcPr>
          <w:p>
            <w:pPr>
              <w:jc w:val="center"/>
              <w:rPr>
                <w:rFonts w:ascii="Times New Roman" w:hAnsi="Times New Roman"/>
                <w:b/>
                <w:bCs/>
                <w:sz w:val="21"/>
                <w:szCs w:val="21"/>
              </w:rPr>
            </w:pPr>
            <w:r>
              <w:rPr>
                <w:rFonts w:ascii="Times New Roman" w:hAnsi="Times New Roman"/>
                <w:b/>
                <w:bCs/>
                <w:sz w:val="21"/>
                <w:szCs w:val="21"/>
              </w:rPr>
              <w:t>同意</w:t>
            </w:r>
          </w:p>
        </w:tc>
        <w:tc>
          <w:tcPr>
            <w:tcW w:w="455" w:type="pct"/>
            <w:shd w:val="pct10" w:color="auto" w:fill="auto"/>
            <w:vAlign w:val="center"/>
          </w:tcPr>
          <w:p>
            <w:pPr>
              <w:jc w:val="center"/>
              <w:rPr>
                <w:rFonts w:ascii="Times New Roman" w:hAnsi="Times New Roman"/>
                <w:b/>
                <w:bCs/>
                <w:sz w:val="21"/>
                <w:szCs w:val="21"/>
              </w:rPr>
            </w:pPr>
            <w:r>
              <w:rPr>
                <w:rFonts w:ascii="Times New Roman" w:hAnsi="Times New Roman"/>
                <w:b/>
                <w:bCs/>
                <w:sz w:val="21"/>
                <w:szCs w:val="21"/>
              </w:rPr>
              <w:t>反对</w:t>
            </w:r>
          </w:p>
        </w:tc>
        <w:tc>
          <w:tcPr>
            <w:tcW w:w="454" w:type="pct"/>
            <w:shd w:val="pct10" w:color="auto" w:fill="auto"/>
            <w:vAlign w:val="center"/>
          </w:tcPr>
          <w:p>
            <w:pPr>
              <w:jc w:val="center"/>
              <w:rPr>
                <w:rFonts w:ascii="Times New Roman" w:hAnsi="Times New Roman"/>
                <w:b/>
                <w:bCs/>
                <w:sz w:val="21"/>
                <w:szCs w:val="21"/>
              </w:rPr>
            </w:pPr>
            <w:r>
              <w:rPr>
                <w:rFonts w:ascii="Times New Roman" w:hAnsi="Times New Roman"/>
                <w:b/>
                <w:bCs/>
                <w:sz w:val="21"/>
                <w:szCs w:val="21"/>
              </w:rPr>
              <w:t>弃权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sz w:val="21"/>
                <w:szCs w:val="21"/>
              </w:rPr>
            </w:pPr>
            <w:r>
              <w:rPr>
                <w:rFonts w:hint="eastAsia" w:ascii="宋体" w:hAnsi="宋体" w:cs="宋体"/>
                <w:color w:val="000000"/>
                <w:sz w:val="24"/>
                <w:szCs w:val="24"/>
              </w:rPr>
              <w:t>《关于公司202</w:t>
            </w:r>
            <w:r>
              <w:rPr>
                <w:rFonts w:hint="eastAsia" w:ascii="宋体" w:hAnsi="宋体" w:cs="宋体"/>
                <w:color w:val="000000"/>
                <w:sz w:val="24"/>
                <w:szCs w:val="24"/>
                <w:lang w:val="en-US" w:eastAsia="zh-CN"/>
              </w:rPr>
              <w:t>3</w:t>
            </w:r>
            <w:r>
              <w:rPr>
                <w:rFonts w:hint="eastAsia" w:ascii="宋体" w:hAnsi="宋体" w:cs="宋体"/>
                <w:color w:val="000000"/>
                <w:sz w:val="24"/>
                <w:szCs w:val="24"/>
              </w:rPr>
              <w:t>年度报告的议案》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color w:val="000000"/>
                <w:sz w:val="21"/>
                <w:szCs w:val="21"/>
              </w:rPr>
            </w:pPr>
            <w:r>
              <w:rPr>
                <w:rFonts w:hint="eastAsia" w:ascii="宋体" w:hAnsi="宋体" w:cs="宋体"/>
                <w:color w:val="000000"/>
                <w:sz w:val="24"/>
                <w:szCs w:val="24"/>
              </w:rPr>
              <w:t>《关于公司202</w:t>
            </w:r>
            <w:r>
              <w:rPr>
                <w:rFonts w:hint="eastAsia" w:ascii="宋体" w:hAnsi="宋体" w:cs="宋体"/>
                <w:color w:val="000000"/>
                <w:sz w:val="24"/>
                <w:szCs w:val="24"/>
                <w:lang w:val="en-US" w:eastAsia="zh-CN"/>
              </w:rPr>
              <w:t>3</w:t>
            </w:r>
            <w:r>
              <w:rPr>
                <w:rFonts w:hint="eastAsia" w:ascii="宋体" w:hAnsi="宋体" w:cs="宋体"/>
                <w:color w:val="000000"/>
                <w:sz w:val="24"/>
                <w:szCs w:val="24"/>
              </w:rPr>
              <w:t>年度董事会工作报告的议案》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sz w:val="21"/>
                <w:szCs w:val="21"/>
              </w:rPr>
            </w:pPr>
            <w:r>
              <w:rPr>
                <w:rFonts w:hint="eastAsia" w:ascii="宋体" w:hAnsi="宋体" w:cs="宋体"/>
                <w:color w:val="000000"/>
                <w:sz w:val="24"/>
                <w:szCs w:val="24"/>
              </w:rPr>
              <w:t>《关于公司202</w:t>
            </w:r>
            <w:r>
              <w:rPr>
                <w:rFonts w:hint="eastAsia" w:ascii="宋体" w:hAnsi="宋体" w:cs="宋体"/>
                <w:color w:val="000000"/>
                <w:sz w:val="24"/>
                <w:szCs w:val="24"/>
                <w:lang w:val="en-US" w:eastAsia="zh-CN"/>
              </w:rPr>
              <w:t>3</w:t>
            </w:r>
            <w:r>
              <w:rPr>
                <w:rFonts w:hint="eastAsia" w:ascii="宋体" w:hAnsi="宋体" w:cs="宋体"/>
                <w:color w:val="000000"/>
                <w:sz w:val="24"/>
                <w:szCs w:val="24"/>
              </w:rPr>
              <w:t>年度监事会工作报告的议案》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color w:val="000000"/>
                <w:sz w:val="21"/>
                <w:szCs w:val="21"/>
              </w:rPr>
            </w:pPr>
            <w:r>
              <w:rPr>
                <w:rFonts w:hint="eastAsia" w:ascii="宋体" w:hAnsi="宋体" w:cs="宋体"/>
                <w:color w:val="000000"/>
                <w:sz w:val="24"/>
                <w:szCs w:val="24"/>
              </w:rPr>
              <w:t>《关于公司202</w:t>
            </w:r>
            <w:r>
              <w:rPr>
                <w:rFonts w:hint="eastAsia" w:ascii="宋体" w:hAnsi="宋体" w:cs="宋体"/>
                <w:color w:val="000000"/>
                <w:sz w:val="24"/>
                <w:szCs w:val="24"/>
                <w:lang w:val="en-US" w:eastAsia="zh-CN"/>
              </w:rPr>
              <w:t>3</w:t>
            </w:r>
            <w:r>
              <w:rPr>
                <w:rFonts w:hint="eastAsia" w:ascii="宋体" w:hAnsi="宋体" w:cs="宋体"/>
                <w:color w:val="000000"/>
                <w:sz w:val="24"/>
                <w:szCs w:val="24"/>
              </w:rPr>
              <w:t>年度财务决算报告的议案》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color w:val="000000"/>
                <w:sz w:val="21"/>
                <w:szCs w:val="21"/>
              </w:rPr>
            </w:pPr>
            <w:r>
              <w:rPr>
                <w:rFonts w:hint="eastAsia" w:ascii="宋体" w:hAnsi="宋体" w:cs="宋体"/>
                <w:color w:val="000000"/>
                <w:sz w:val="24"/>
                <w:szCs w:val="24"/>
              </w:rPr>
              <w:t>《关于公司202</w:t>
            </w:r>
            <w:r>
              <w:rPr>
                <w:rFonts w:hint="eastAsia" w:ascii="宋体" w:hAnsi="宋体" w:cs="宋体"/>
                <w:color w:val="000000"/>
                <w:sz w:val="24"/>
                <w:szCs w:val="24"/>
                <w:lang w:val="en-US" w:eastAsia="zh-CN"/>
              </w:rPr>
              <w:t>3</w:t>
            </w:r>
            <w:r>
              <w:rPr>
                <w:rFonts w:hint="eastAsia" w:ascii="宋体" w:hAnsi="宋体" w:cs="宋体"/>
                <w:color w:val="000000"/>
                <w:sz w:val="24"/>
                <w:szCs w:val="24"/>
              </w:rPr>
              <w:t>年度利润分配方案的议案》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color w:val="000000"/>
                <w:sz w:val="21"/>
                <w:szCs w:val="21"/>
              </w:rPr>
            </w:pPr>
            <w:r>
              <w:rPr>
                <w:rFonts w:hint="eastAsia" w:ascii="宋体" w:hAnsi="宋体" w:cs="宋体"/>
                <w:color w:val="000000"/>
                <w:sz w:val="24"/>
                <w:szCs w:val="24"/>
              </w:rPr>
              <w:t>《关于公司及控股子公司预计202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年度向银行申请综合授信额度及预计202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年度担保额度的议案》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color w:val="000000"/>
                <w:sz w:val="21"/>
                <w:szCs w:val="21"/>
              </w:rPr>
            </w:pPr>
            <w:r>
              <w:rPr>
                <w:rFonts w:hint="eastAsia" w:ascii="宋体" w:hAnsi="宋体" w:cs="宋体"/>
                <w:color w:val="000000"/>
                <w:sz w:val="24"/>
                <w:szCs w:val="24"/>
              </w:rPr>
              <w:t>《关于普瑞特机械制造股份有限公司减少注册资本的议案》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sz w:val="21"/>
                <w:szCs w:val="21"/>
              </w:rPr>
            </w:pPr>
            <w:r>
              <w:rPr>
                <w:rFonts w:hint="eastAsia" w:ascii="宋体" w:hAnsi="宋体" w:cs="宋体"/>
                <w:color w:val="000000"/>
                <w:sz w:val="24"/>
                <w:szCs w:val="24"/>
              </w:rPr>
              <w:t>《关于修改公司章程的议案》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6" w:type="pct"/>
            <w:vAlign w:val="center"/>
          </w:tcPr>
          <w:p>
            <w:pPr>
              <w:numPr>
                <w:ilvl w:val="0"/>
                <w:numId w:val="1"/>
              </w:numPr>
              <w:jc w:val="center"/>
              <w:rPr>
                <w:rFonts w:ascii="Times New Roman" w:hAnsi="Times New Roman"/>
                <w:sz w:val="21"/>
                <w:szCs w:val="21"/>
              </w:rPr>
            </w:pPr>
          </w:p>
        </w:tc>
        <w:tc>
          <w:tcPr>
            <w:tcW w:w="3191" w:type="pct"/>
            <w:vAlign w:val="center"/>
          </w:tcPr>
          <w:p>
            <w:pPr>
              <w:numPr>
                <w:ilvl w:val="0"/>
                <w:numId w:val="0"/>
              </w:numPr>
              <w:spacing w:line="360" w:lineRule="exact"/>
              <w:ind w:left="482" w:leftChars="0"/>
              <w:jc w:val="both"/>
              <w:rPr>
                <w:rFonts w:ascii="Times New Roman" w:hAnsi="Times New Roman"/>
                <w:sz w:val="21"/>
                <w:szCs w:val="21"/>
              </w:rPr>
            </w:pPr>
            <w:r>
              <w:rPr>
                <w:rFonts w:hint="eastAsia" w:ascii="宋体" w:hAnsi="宋体" w:cs="宋体"/>
                <w:color w:val="000000"/>
                <w:sz w:val="24"/>
                <w:szCs w:val="24"/>
              </w:rPr>
              <w:t>《关于提请股东大会授权公司经营管理层全权办理202</w:t>
            </w:r>
            <w:r>
              <w:rPr>
                <w:rFonts w:hint="eastAsia" w:ascii="宋体" w:hAnsi="宋体" w:cs="宋体"/>
                <w:color w:val="000000"/>
                <w:sz w:val="24"/>
                <w:szCs w:val="24"/>
                <w:lang w:val="en-US" w:eastAsia="zh-CN"/>
              </w:rPr>
              <w:t>3</w:t>
            </w:r>
            <w:r>
              <w:rPr>
                <w:rFonts w:hint="eastAsia" w:ascii="宋体" w:hAnsi="宋体" w:cs="宋体"/>
                <w:color w:val="000000"/>
                <w:sz w:val="24"/>
                <w:szCs w:val="24"/>
              </w:rPr>
              <w:t>年度股东大会审议通过事项涉及的相关手续的议案》</w:t>
            </w:r>
          </w:p>
        </w:tc>
        <w:tc>
          <w:tcPr>
            <w:tcW w:w="454" w:type="pct"/>
            <w:vAlign w:val="center"/>
          </w:tcPr>
          <w:p>
            <w:pPr>
              <w:jc w:val="center"/>
              <w:rPr>
                <w:rFonts w:ascii="Times New Roman" w:hAnsi="Times New Roman"/>
                <w:color w:val="000000"/>
                <w:sz w:val="21"/>
                <w:szCs w:val="21"/>
              </w:rPr>
            </w:pPr>
          </w:p>
        </w:tc>
        <w:tc>
          <w:tcPr>
            <w:tcW w:w="455" w:type="pct"/>
            <w:vAlign w:val="center"/>
          </w:tcPr>
          <w:p>
            <w:pPr>
              <w:jc w:val="center"/>
              <w:rPr>
                <w:rFonts w:ascii="Times New Roman" w:hAnsi="Times New Roman"/>
                <w:color w:val="000000"/>
                <w:sz w:val="21"/>
                <w:szCs w:val="21"/>
              </w:rPr>
            </w:pPr>
          </w:p>
        </w:tc>
        <w:tc>
          <w:tcPr>
            <w:tcW w:w="454" w:type="pct"/>
            <w:vAlign w:val="center"/>
          </w:tcPr>
          <w:p>
            <w:pPr>
              <w:jc w:val="center"/>
              <w:rPr>
                <w:rFonts w:ascii="Times New Roman" w:hAnsi="Times New Roman"/>
                <w:color w:val="000000"/>
                <w:sz w:val="21"/>
                <w:szCs w:val="21"/>
              </w:rPr>
            </w:pPr>
          </w:p>
        </w:tc>
      </w:tr>
      <w:bookmarkEnd w:id="1"/>
    </w:tbl>
    <w:p>
      <w:pPr>
        <w:widowControl w:val="0"/>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委托人对受托人的指示，以在</w:t>
      </w:r>
      <w:r>
        <w:rPr>
          <w:rFonts w:ascii="宋体" w:hAnsi="宋体" w:cs="宋体"/>
          <w:sz w:val="24"/>
          <w:szCs w:val="24"/>
        </w:rPr>
        <w:t>“</w:t>
      </w:r>
      <w:r>
        <w:rPr>
          <w:rFonts w:hint="eastAsia" w:ascii="宋体" w:hAnsi="宋体" w:cs="宋体"/>
          <w:sz w:val="24"/>
          <w:szCs w:val="24"/>
        </w:rPr>
        <w:t>同意</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反对</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弃权</w:t>
      </w:r>
      <w:r>
        <w:rPr>
          <w:rFonts w:ascii="宋体" w:hAnsi="宋体" w:cs="宋体"/>
          <w:sz w:val="24"/>
          <w:szCs w:val="24"/>
        </w:rPr>
        <w:t>”</w:t>
      </w:r>
      <w:r>
        <w:rPr>
          <w:rFonts w:hint="eastAsia" w:ascii="宋体" w:hAnsi="宋体" w:cs="宋体"/>
          <w:sz w:val="24"/>
          <w:szCs w:val="24"/>
        </w:rPr>
        <w:t>下面的方框中打</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为准，对同一审议事项不得有两项或多项指示。如果委托人对某一审议事项的表决意见未作具体指示或对同一审议事项有两项或多项指示的，受托人有权按自已的意思决定对该事项进行投票表决。</w:t>
      </w:r>
    </w:p>
    <w:p>
      <w:pPr>
        <w:widowControl w:val="0"/>
        <w:autoSpaceDE w:val="0"/>
        <w:autoSpaceDN w:val="0"/>
        <w:adjustRightInd w:val="0"/>
        <w:spacing w:line="480" w:lineRule="auto"/>
        <w:rPr>
          <w:rFonts w:ascii="宋体" w:hAnsi="宋体" w:cs="宋体"/>
          <w:sz w:val="24"/>
          <w:szCs w:val="24"/>
        </w:rPr>
      </w:pPr>
    </w:p>
    <w:p>
      <w:pPr>
        <w:widowControl w:val="0"/>
        <w:autoSpaceDE w:val="0"/>
        <w:autoSpaceDN w:val="0"/>
        <w:adjustRightInd w:val="0"/>
        <w:spacing w:line="480" w:lineRule="auto"/>
        <w:rPr>
          <w:rFonts w:ascii="宋体" w:hAnsi="宋体" w:cs="宋体"/>
          <w:sz w:val="24"/>
          <w:szCs w:val="24"/>
        </w:rPr>
      </w:pPr>
      <w:r>
        <w:rPr>
          <w:rFonts w:hint="eastAsia" w:ascii="宋体" w:hAnsi="宋体" w:cs="宋体"/>
          <w:sz w:val="24"/>
          <w:szCs w:val="24"/>
        </w:rPr>
        <w:t>委托人签名</w:t>
      </w:r>
      <w:r>
        <w:rPr>
          <w:rFonts w:ascii="宋体" w:hAnsi="宋体"/>
          <w:sz w:val="24"/>
          <w:szCs w:val="24"/>
        </w:rPr>
        <w:t>/</w:t>
      </w:r>
      <w:r>
        <w:rPr>
          <w:rFonts w:hint="eastAsia" w:ascii="宋体" w:hAnsi="宋体" w:cs="宋体"/>
          <w:sz w:val="24"/>
          <w:szCs w:val="24"/>
        </w:rPr>
        <w:t xml:space="preserve">盖章： </w:t>
      </w:r>
      <w:r>
        <w:rPr>
          <w:rFonts w:ascii="宋体" w:hAnsi="宋体" w:cs="宋体"/>
          <w:sz w:val="24"/>
          <w:szCs w:val="24"/>
        </w:rPr>
        <w:t xml:space="preserve">             </w:t>
      </w:r>
      <w:r>
        <w:rPr>
          <w:rFonts w:hint="eastAsia" w:ascii="宋体" w:hAnsi="宋体" w:cs="宋体"/>
          <w:sz w:val="24"/>
          <w:szCs w:val="24"/>
        </w:rPr>
        <w:t>委托人委托表决的股数：</w:t>
      </w:r>
    </w:p>
    <w:p>
      <w:pPr>
        <w:widowControl w:val="0"/>
        <w:autoSpaceDE w:val="0"/>
        <w:autoSpaceDN w:val="0"/>
        <w:adjustRightInd w:val="0"/>
        <w:spacing w:line="480" w:lineRule="auto"/>
        <w:rPr>
          <w:rFonts w:ascii="宋体" w:hAnsi="宋体" w:cs="宋体"/>
          <w:sz w:val="24"/>
          <w:szCs w:val="24"/>
        </w:rPr>
      </w:pPr>
      <w:r>
        <w:rPr>
          <w:rFonts w:hint="eastAsia" w:ascii="宋体" w:hAnsi="宋体" w:cs="宋体"/>
          <w:sz w:val="24"/>
          <w:szCs w:val="24"/>
        </w:rPr>
        <w:t>委托人身份证号码</w:t>
      </w:r>
      <w:r>
        <w:rPr>
          <w:rFonts w:ascii="宋体" w:hAnsi="宋体"/>
          <w:sz w:val="24"/>
          <w:szCs w:val="24"/>
        </w:rPr>
        <w:t>/</w:t>
      </w:r>
      <w:r>
        <w:rPr>
          <w:rFonts w:hint="eastAsia" w:ascii="宋体" w:hAnsi="宋体"/>
          <w:sz w:val="24"/>
          <w:szCs w:val="24"/>
        </w:rPr>
        <w:t>统一社会信用代码</w:t>
      </w:r>
      <w:r>
        <w:rPr>
          <w:rFonts w:hint="eastAsia" w:ascii="宋体" w:hAnsi="宋体" w:cs="宋体"/>
          <w:sz w:val="24"/>
          <w:szCs w:val="24"/>
        </w:rPr>
        <w:t>：</w:t>
      </w:r>
      <w:r>
        <w:rPr>
          <w:rFonts w:ascii="宋体" w:hAnsi="宋体" w:cs="宋体"/>
          <w:sz w:val="24"/>
          <w:szCs w:val="24"/>
        </w:rPr>
        <w:t xml:space="preserve"> </w:t>
      </w:r>
    </w:p>
    <w:p>
      <w:pPr>
        <w:widowControl w:val="0"/>
        <w:autoSpaceDE w:val="0"/>
        <w:autoSpaceDN w:val="0"/>
        <w:adjustRightInd w:val="0"/>
        <w:spacing w:line="480" w:lineRule="auto"/>
        <w:rPr>
          <w:rFonts w:ascii="宋体" w:hAnsi="宋体" w:cs="宋体"/>
          <w:sz w:val="24"/>
          <w:szCs w:val="24"/>
        </w:rPr>
      </w:pPr>
    </w:p>
    <w:p>
      <w:pPr>
        <w:widowControl w:val="0"/>
        <w:autoSpaceDE w:val="0"/>
        <w:autoSpaceDN w:val="0"/>
        <w:adjustRightInd w:val="0"/>
        <w:spacing w:line="480" w:lineRule="auto"/>
        <w:rPr>
          <w:rFonts w:ascii="宋体" w:hAnsi="宋体" w:cs="宋体"/>
          <w:sz w:val="24"/>
          <w:szCs w:val="24"/>
        </w:rPr>
      </w:pPr>
      <w:r>
        <w:rPr>
          <w:rFonts w:hint="eastAsia" w:ascii="宋体" w:hAnsi="宋体" w:cs="宋体"/>
          <w:sz w:val="24"/>
          <w:szCs w:val="24"/>
        </w:rPr>
        <w:t>受托人签名：</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受托人身份证号码：</w:t>
      </w:r>
    </w:p>
    <w:p>
      <w:pPr>
        <w:widowControl w:val="0"/>
        <w:autoSpaceDE w:val="0"/>
        <w:autoSpaceDN w:val="0"/>
        <w:adjustRightInd w:val="0"/>
        <w:spacing w:line="480" w:lineRule="auto"/>
        <w:rPr>
          <w:rFonts w:ascii="宋体" w:hAnsi="宋体" w:cs="宋体"/>
          <w:sz w:val="24"/>
          <w:szCs w:val="24"/>
        </w:rPr>
      </w:pPr>
      <w:r>
        <w:rPr>
          <w:rFonts w:hint="eastAsia" w:ascii="宋体" w:hAnsi="宋体" w:cs="宋体"/>
          <w:sz w:val="24"/>
          <w:szCs w:val="24"/>
        </w:rPr>
        <w:t>委托日期：</w:t>
      </w:r>
    </w:p>
    <w:p>
      <w:pPr>
        <w:widowControl w:val="0"/>
        <w:autoSpaceDE w:val="0"/>
        <w:autoSpaceDN w:val="0"/>
        <w:adjustRightInd w:val="0"/>
        <w:spacing w:line="360" w:lineRule="auto"/>
        <w:rPr>
          <w:rFonts w:ascii="宋体" w:hAnsi="宋体" w:cs="宋体"/>
          <w:sz w:val="24"/>
          <w:szCs w:val="24"/>
        </w:rPr>
      </w:pPr>
    </w:p>
    <w:p>
      <w:pPr>
        <w:widowControl w:val="0"/>
        <w:autoSpaceDE w:val="0"/>
        <w:autoSpaceDN w:val="0"/>
        <w:adjustRightInd w:val="0"/>
        <w:spacing w:line="360" w:lineRule="auto"/>
        <w:rPr>
          <w:rFonts w:ascii="宋体" w:hAnsi="宋体" w:cs="宋体"/>
          <w:sz w:val="24"/>
          <w:szCs w:val="24"/>
        </w:rPr>
      </w:pPr>
      <w:r>
        <w:rPr>
          <w:rFonts w:hint="eastAsia" w:ascii="宋体" w:hAnsi="宋体" w:cs="宋体"/>
          <w:sz w:val="24"/>
          <w:szCs w:val="24"/>
        </w:rPr>
        <w:t>附注：</w:t>
      </w:r>
      <w:r>
        <w:rPr>
          <w:rFonts w:ascii="宋体" w:hAnsi="宋体" w:cs="宋体"/>
          <w:sz w:val="24"/>
          <w:szCs w:val="24"/>
        </w:rPr>
        <w:t xml:space="preserve"> </w:t>
      </w:r>
    </w:p>
    <w:p>
      <w:pPr>
        <w:widowControl w:val="0"/>
        <w:autoSpaceDE w:val="0"/>
        <w:autoSpaceDN w:val="0"/>
        <w:adjustRightInd w:val="0"/>
        <w:spacing w:line="360" w:lineRule="auto"/>
        <w:outlineLvl w:val="0"/>
        <w:rPr>
          <w:rFonts w:ascii="宋体" w:hAnsi="宋体" w:cs="宋体"/>
          <w:sz w:val="24"/>
          <w:szCs w:val="24"/>
        </w:rPr>
      </w:pPr>
      <w:r>
        <w:rPr>
          <w:rFonts w:ascii="宋体" w:hAnsi="宋体" w:cs="宋体"/>
          <w:sz w:val="24"/>
          <w:szCs w:val="24"/>
        </w:rPr>
        <w:t>1</w:t>
      </w:r>
      <w:r>
        <w:rPr>
          <w:rFonts w:hint="eastAsia" w:ascii="宋体" w:hAnsi="宋体" w:cs="宋体"/>
          <w:sz w:val="24"/>
          <w:szCs w:val="24"/>
        </w:rPr>
        <w:t>、非自然人股东委托须加盖单位公章，并由法定代表人（负责人）签字/签章；</w:t>
      </w:r>
    </w:p>
    <w:p>
      <w:pPr>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、授权委托书复印或按以上格式自制均有效。</w:t>
      </w:r>
    </w:p>
    <w:p>
      <w:pPr>
        <w:spacing w:line="360" w:lineRule="exact"/>
        <w:ind w:right="480"/>
        <w:rPr>
          <w:rFonts w:ascii="宋体" w:hAnsi="宋体"/>
          <w:sz w:val="24"/>
          <w:szCs w:val="24"/>
        </w:rPr>
      </w:pPr>
    </w:p>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114877"/>
    <w:multiLevelType w:val="multilevel"/>
    <w:tmpl w:val="76114877"/>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mE3MGIyY2FlN2MwY2FjYWI4MTQ5YWI0NTFhNjQifQ=="/>
  </w:docVars>
  <w:rsids>
    <w:rsidRoot w:val="00000000"/>
    <w:rsid w:val="711C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2024-06-11T01:33:14Z</dcterms:created>
  <dc:creator>薛娇</dc:creator>
  <cp:lastModifiedBy>薛娇星际客服13455389322</cp:lastModifiedBy>
  <dcterms:modified xsi:type="dcterms:W3CDTF">2024-06-11T01:33:25Z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7329FEF1B91F47FDBC349D344E52B8DE_12</vt:lpwstr>
  </property>
</Properties>
</file>